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附件1</w:t>
      </w:r>
    </w:p>
    <w:p>
      <w:pPr>
        <w:autoSpaceDE w:val="0"/>
        <w:autoSpaceDN w:val="0"/>
        <w:jc w:val="center"/>
        <w:rPr>
          <w:rFonts w:ascii="Calibri" w:hAnsi="Calibri" w:eastAsia="宋体" w:cs="Times New Roman"/>
          <w:color w:val="000000"/>
          <w:kern w:val="0"/>
          <w:sz w:val="10"/>
          <w:szCs w:val="10"/>
        </w:rPr>
      </w:pPr>
      <w:r>
        <w:rPr>
          <w:rFonts w:hint="eastAsia" w:ascii="Cambria" w:hAnsi="Cambria" w:eastAsia="宋体" w:cs="Times New Roman"/>
          <w:b/>
          <w:bCs/>
          <w:color w:val="000000"/>
          <w:kern w:val="0"/>
          <w:sz w:val="32"/>
          <w:szCs w:val="32"/>
        </w:rPr>
        <w:t>战略投资部投资经理岗位说明书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投资经理</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国家有关政策、医疗市场行情，参与公司战略规划制定，负责资产管理、投资预算的编制、投资项目的调研、谈判、实施监管及投后评价等工作，对公司投资项目进行全过程的管理。</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了解宏观经济政策和产业发展政策，掌握战略规划、财务管理等相关专业知识，熟悉项目投资、项目管理、项目建设、资本运营、资产管理等方面的专业知识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2年以上项目投资工作经验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具备医疗/口腔领域投资经验者优先</w:t>
            </w:r>
          </w:p>
          <w:p>
            <w:pPr>
              <w:adjustRightInd w:val="0"/>
              <w:snapToGrid w:val="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3" w:hRule="atLeast"/>
        </w:trPr>
        <w:tc>
          <w:tcPr>
            <w:tcW w:w="10540" w:type="dxa"/>
            <w:gridSpan w:val="5"/>
            <w:tcBorders>
              <w:bottom w:val="single" w:color="auto" w:sz="4" w:space="0"/>
            </w:tcBorders>
            <w:tcMar>
              <w:top w:w="85" w:type="dxa"/>
            </w:tcMar>
          </w:tcPr>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研究分析国家产业政策、区域和行业政策，编制研究报告，为领导决策提供政策支撑</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参与制订公司整体发展战略，开展公司中长期发展规划的调研、编制、评估、修订及上报等工作</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参与指导公司所属企业编制中长期发展规划、制定目标任务</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参与拟订公司股权并购、增资扩股、股份制改革等相关制度、流程及实施方案，并具体实施</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参与公司重大改革改制议题的研究与报告，协助编制公司改革方案</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参与指导公司所属企业的改革工作，参与公司重大改制、改组等工作</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参与编制公司年度项目投资预算，跟进上报投资决策委员会审批工作</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负责投资预算目标分解，跟进投资预算执行情况，协调解决执行中的问题</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负责投资项目的论证，跟进投资项目的审核、上报</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负责组织相关人员对有投资意向的项目进行前期考察、调研，编制尽职调查报告</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负责编制拟投资项目的投资建议书、可行性调研报告、投资预算</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协助组织并参与投资项目评审、合作谈判等工作</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负责对投资项目全过程进行跟进、维护及管理</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负责对投资项目的实施过程进行风险监督，提出风险应对意见</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负责制定投资项目的退出方案，协助项目退出</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负责跟进、统计公司股权投资项目资本金拨付情况</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负责公司投资项目投后评估工作，总结经验教训</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对公司进入新产业领域的进行调查和分析，拟定实施方案</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参与公司所属企业投资项目前期论证的资料分析、调查研究、初步论证及过程管理</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参与拟定并完善资产管理、资产处置有关制度，并监督执行</w:t>
            </w:r>
          </w:p>
          <w:p>
            <w:pPr>
              <w:numPr>
                <w:ilvl w:val="0"/>
                <w:numId w:val="11"/>
              </w:numPr>
              <w:adjustRightInd w:val="0"/>
              <w:snapToGrid w:val="0"/>
              <w:ind w:left="420" w:leftChars="0" w:hanging="420" w:firstLineChars="0"/>
              <w:rPr>
                <w:rFonts w:ascii="Calibri" w:hAnsi="Calibri" w:eastAsia="宋体" w:cs="Times New Roman"/>
                <w:sz w:val="21"/>
                <w:szCs w:val="21"/>
              </w:rPr>
            </w:pPr>
            <w:r>
              <w:rPr>
                <w:rFonts w:hint="eastAsia" w:ascii="Calibri" w:hAnsi="Calibri" w:eastAsia="宋体" w:cs="Times New Roman"/>
                <w:sz w:val="21"/>
                <w:szCs w:val="21"/>
              </w:rPr>
              <w:t>负责公司固定资产、实物资产的管理</w:t>
            </w:r>
          </w:p>
          <w:p>
            <w:pPr>
              <w:numPr>
                <w:ilvl w:val="0"/>
                <w:numId w:val="11"/>
              </w:numPr>
              <w:adjustRightInd w:val="0"/>
              <w:snapToGrid w:val="0"/>
              <w:ind w:left="420" w:leftChars="0" w:hanging="420" w:firstLineChars="0"/>
              <w:rPr>
                <w:rFonts w:ascii="Calibri" w:hAnsi="Calibri" w:eastAsia="宋体" w:cs="Times New Roman"/>
                <w:sz w:val="21"/>
              </w:rPr>
            </w:pPr>
            <w:r>
              <w:rPr>
                <w:rFonts w:hint="eastAsia" w:ascii="Calibri" w:hAnsi="Calibri" w:eastAsia="宋体" w:cs="Times New Roman"/>
                <w:sz w:val="21"/>
                <w:szCs w:val="21"/>
              </w:rPr>
              <w:t>负责公司资产损失认定、核销、折旧、资产处置、清产核资等工作，配合财务审计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center"/>
        <w:rPr>
          <w:rFonts w:ascii="Calibri" w:hAnsi="Calibri" w:eastAsia="宋体" w:cs="Times New Roman"/>
          <w:kern w:val="0"/>
          <w:sz w:val="32"/>
        </w:rPr>
      </w:pPr>
      <w:r>
        <w:rPr>
          <w:rFonts w:hint="eastAsia" w:ascii="Cambria" w:hAnsi="Cambria" w:eastAsia="宋体" w:cs="Times New Roman"/>
          <w:b/>
          <w:bCs/>
          <w:kern w:val="0"/>
          <w:sz w:val="32"/>
          <w:szCs w:val="32"/>
        </w:rPr>
        <w:br w:type="page"/>
      </w:r>
      <w:r>
        <w:rPr>
          <w:rFonts w:hint="eastAsia" w:ascii="Cambria" w:hAnsi="Cambria" w:eastAsia="宋体" w:cs="Times New Roman"/>
          <w:b/>
          <w:bCs/>
          <w:color w:val="000000"/>
          <w:kern w:val="0"/>
          <w:sz w:val="32"/>
          <w:szCs w:val="32"/>
        </w:rPr>
        <w:t>战略投资部投资事务专员岗位说明书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投资事务专员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国家有关政策、医疗市场行情，负责有关政策、市场信息的收集整理、投资项目数据统计及综合性文稿的撰写等工作，为公司投资项目管理提供支撑。</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大学本科及以上学历，企业管理、经济、财务、审计、法律等相关专业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了解宏观经济政策和产业发展政策，了解项目投资、项目管理、项目建设、资本运营、资产管理等方面的专业知识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2年以上相关岗位工作经验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具备口腔医疗行业投资经验者优先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收集整理国家产业政策、区域和行业政策，了解和掌握市场信息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参与公司所属企业投资项目行业资料收集、整理工作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收集并汇总公司进入新产业领域有关政策信息、行业趋势等资料信息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负责投资项目有关数据的收集、整理工作，提供准确的投资项目信息及数据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草拟投资项目前期考察立项、过程管理及投后评估阶段需要的基础文稿及综合性文稿</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协助办理投资项目过程中必要的手续、流程，支撑项目的推进</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参与投资项目有关会议、谈判，做好会议纪要及会后信息报送工作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负责部门投资项目档案的归档管理工作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参与检查监督公司资产管理、资产处置有关制度执行的情况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负责公司固定资产、实物资产信息统计、编号等工作，建立健全资产管理台账</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配合办理公司资产损失认定、核销、折旧、资产处置、清产核资相关手续及流程，配合财务审计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宋体" w:hAnsi="宋体" w:eastAsia="仿宋" w:cs="宋体"/>
          <w:snapToGrid w:val="0"/>
          <w:kern w:val="0"/>
          <w:sz w:val="32"/>
        </w:rPr>
      </w:pPr>
      <w:r>
        <w:rPr>
          <w:rFonts w:ascii="宋体" w:hAnsi="宋体" w:eastAsia="仿宋" w:cs="宋体"/>
          <w:snapToGrid w:val="0"/>
          <w:kern w:val="0"/>
          <w:sz w:val="32"/>
        </w:rPr>
        <w:br w:type="page"/>
      </w:r>
    </w:p>
    <w:p>
      <w:pPr>
        <w:rPr>
          <w:rFonts w:eastAsia="宋体"/>
          <w:sz w:val="32"/>
          <w:szCs w:val="24"/>
        </w:rPr>
        <w:sectPr>
          <w:pgSz w:w="16838" w:h="11906" w:orient="landscape"/>
          <w:pgMar w:top="1288" w:right="2098" w:bottom="1158" w:left="1984" w:header="851" w:footer="1400" w:gutter="0"/>
          <w:cols w:space="425" w:num="1"/>
          <w:docGrid w:type="linesAndChars" w:linePitch="579" w:charSpace="-849"/>
        </w:sectPr>
      </w:pP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经营管理部经营管理专员岗位说明书</w:t>
      </w:r>
    </w:p>
    <w:tbl>
      <w:tblPr>
        <w:tblStyle w:val="3"/>
        <w:tblpPr w:leftFromText="180" w:rightFromText="180" w:vertAnchor="text" w:tblpXSpec="center" w:tblpY="1"/>
        <w:tblOverlap w:val="never"/>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医疗管理政策、法律法规，建立并完善公司医疗管理体系、制度及流程，对医疗技术标准、医疗质量及医疗安全进行监督管理，提高公司医疗管理质量。依据公司战略规划及部门相关制度，负责所属企业及重要参股公司运营管理，汇总经营有关数据并编制经济运行分析等报告。</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大学本科及以上学历，企业管理、医院管理、</w:t>
            </w:r>
            <w:r>
              <w:rPr>
                <w:rFonts w:hint="eastAsia" w:ascii="Calibri" w:hAnsi="Calibri" w:eastAsia="宋体" w:cs="Times New Roman"/>
                <w:sz w:val="21"/>
              </w:rPr>
              <w:t>口腔医学</w:t>
            </w:r>
            <w:r>
              <w:rPr>
                <w:rFonts w:hint="eastAsia" w:ascii="Calibri" w:hAnsi="Calibri" w:eastAsia="宋体" w:cs="Times New Roman"/>
                <w:sz w:val="21"/>
                <w:szCs w:val="21"/>
              </w:rPr>
              <w:t>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具备企业医疗技术标准管理、医疗质量、医疗安全相关知识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熟悉国家对医疗政策、医疗安全等领域的法律法规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r>
              <w:rPr>
                <w:rFonts w:hint="eastAsia" w:ascii="Calibri" w:hAnsi="Calibri" w:eastAsia="宋体" w:cs="Times New Roman"/>
                <w:sz w:val="21"/>
                <w:szCs w:val="21"/>
              </w:rPr>
              <w:t>的文字和口头表达能力</w:t>
            </w: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负责拟定医疗管理年度工作计划并实施</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负责拟定医疗技术标准，完善医疗机构管理有关规章制度、工作流程并监督执行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负责拟定医疗质量管理标准，督促检查操作执行情况，不断提高医疗质量</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负责联络外部医疗专家，维护良好的关系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定期组织对各医院质量进行督查，对发现问题提出整改意见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督查医疗质量问题整改，跟进整改落实情况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收集整理医疗质量反馈信息，对质量问题进行分析</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负责定期组织召开医疗质量相关会议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负责医疗安全监督、宣传及管理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积极采取预防措施，杜绝医疗事故发生</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参与医疗事故的调查、处理和上报工作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负责定期召开医疗安全相关会议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负责参加医疗有关的学术交流和学术会议，了解行业发展趋势</w:t>
            </w:r>
            <w:r>
              <w:rPr>
                <w:rFonts w:ascii="Calibri" w:hAnsi="Calibri" w:eastAsia="宋体" w:cs="Times New Roman"/>
                <w:sz w:val="21"/>
                <w:szCs w:val="21"/>
              </w:rPr>
              <w:tab/>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经营管理部经营业绩考核专员岗位说明书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经营业绩考核专员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依据公司战略规划及部门相关制度，负责所属企业及重要参股公司运营管理、生产经营预算、经营业绩考核、经营数据统计与分析工作，汇总经营有关数据并编制经济运行分析等报告。</w:t>
            </w:r>
            <w:r>
              <w:rPr>
                <w:rFonts w:ascii="Calibri" w:hAnsi="Calibri" w:eastAsia="宋体" w:cs="Times New Roman"/>
                <w:sz w:val="21"/>
                <w:szCs w:val="21"/>
              </w:rPr>
              <w:t xml:space="preserve"> </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大学本科及以上学历，经济学、财务学、会计学等相关专业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熟悉经营管理专业知识与技能、流程，具有一定的财务、法律知识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熟悉国家对建设领域的法律法规、标准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6"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参与所属企业及重要参股公司生产经营预算、经营业绩考核等制度的拟定、修订和监督执行工作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w:t>
            </w:r>
            <w:r>
              <w:rPr>
                <w:rFonts w:ascii="Calibri" w:hAnsi="Calibri" w:eastAsia="宋体" w:cs="Times New Roman"/>
                <w:sz w:val="21"/>
                <w:szCs w:val="21"/>
              </w:rPr>
              <w:t>监督</w:t>
            </w:r>
            <w:r>
              <w:rPr>
                <w:rFonts w:hint="eastAsia" w:ascii="Calibri" w:hAnsi="Calibri" w:eastAsia="宋体" w:cs="Times New Roman"/>
                <w:sz w:val="21"/>
                <w:szCs w:val="21"/>
              </w:rPr>
              <w:t>所属企业及重要参股公司</w:t>
            </w:r>
            <w:r>
              <w:rPr>
                <w:rFonts w:ascii="Calibri" w:hAnsi="Calibri" w:eastAsia="宋体" w:cs="Times New Roman"/>
                <w:sz w:val="21"/>
                <w:szCs w:val="21"/>
              </w:rPr>
              <w:t>年度预算目标的执行</w:t>
            </w:r>
            <w:r>
              <w:rPr>
                <w:rFonts w:hint="eastAsia" w:ascii="Calibri" w:hAnsi="Calibri" w:eastAsia="宋体" w:cs="Times New Roman"/>
                <w:sz w:val="21"/>
                <w:szCs w:val="21"/>
              </w:rPr>
              <w:t>，按月汇总经营预算指标完成情况，并编制经营预算执行快报（</w:t>
            </w:r>
            <w:r>
              <w:rPr>
                <w:rFonts w:ascii="Calibri" w:hAnsi="Calibri" w:eastAsia="宋体" w:cs="Times New Roman"/>
                <w:sz w:val="21"/>
                <w:szCs w:val="21"/>
              </w:rPr>
              <w:t>经济运行分析报告</w:t>
            </w:r>
            <w:r>
              <w:rPr>
                <w:rFonts w:hint="eastAsia" w:ascii="Calibri" w:hAnsi="Calibri" w:eastAsia="宋体" w:cs="Times New Roman"/>
                <w:sz w:val="21"/>
                <w:szCs w:val="21"/>
              </w:rPr>
              <w:t>）</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参与经济运行分析会议和专题会议，监督落实预算执行情况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监督指导所属企业日常运营管理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负责组织目标责任单位签订运营目标责任书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定期对公司经营预算、经营数据、经营业绩考核相关数据进行更新、维护和展示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负责所属企业与重要参股公司年度经营业绩考核工作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numPr>
                <w:ilvl w:val="0"/>
                <w:numId w:val="12"/>
              </w:numPr>
              <w:adjustRightInd w:val="0"/>
              <w:snapToGrid w:val="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经营管理部项目建设安环专员岗位说明书</w:t>
      </w:r>
    </w:p>
    <w:tbl>
      <w:tblPr>
        <w:tblStyle w:val="3"/>
        <w:tblpPr w:leftFromText="180" w:rightFromText="180" w:vertAnchor="text" w:tblpXSpec="center" w:tblpY="1"/>
        <w:tblOverlap w:val="never"/>
        <w:tblW w:w="15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198"/>
        <w:gridCol w:w="1013"/>
        <w:gridCol w:w="2895"/>
        <w:gridCol w:w="1365"/>
        <w:gridCol w:w="2108"/>
        <w:gridCol w:w="144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9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1013"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9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项目建设安环专员</w:t>
            </w:r>
          </w:p>
        </w:tc>
        <w:tc>
          <w:tcPr>
            <w:tcW w:w="13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108"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4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5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5014"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安全、环保方面法律法规，负责公司安全生产、环境保护、职业健康、应急处置等工作，保障公司安全生产、减少能耗和污染，充分利用资源。依据国家建筑业政策、法律法规，负责公司在建项目管理及投产运营项目改建、扩建工程管理，促进公司工程建设目标实现。</w:t>
            </w:r>
          </w:p>
        </w:tc>
        <w:tc>
          <w:tcPr>
            <w:tcW w:w="5014" w:type="dxa"/>
            <w:gridSpan w:val="3"/>
            <w:vMerge w:val="restart"/>
          </w:tcPr>
          <w:p>
            <w:pPr>
              <w:numPr>
                <w:ilvl w:val="0"/>
                <w:numId w:val="11"/>
              </w:numPr>
              <w:adjustRightInd w:val="0"/>
              <w:snapToGrid w:val="0"/>
              <w:ind w:left="420" w:hanging="420"/>
              <w:rPr>
                <w:rFonts w:ascii="Calibri" w:hAnsi="Calibri" w:eastAsia="宋体" w:cs="Times New Roman"/>
                <w:sz w:val="21"/>
                <w:szCs w:val="21"/>
              </w:rPr>
            </w:pPr>
            <w:bookmarkStart w:id="0" w:name="_GoBack"/>
            <w:r>
              <w:rPr>
                <w:rFonts w:hint="eastAsia" w:ascii="Calibri" w:hAnsi="Calibri" w:eastAsia="宋体" w:cs="Times New Roman"/>
                <w:sz w:val="21"/>
                <w:szCs w:val="21"/>
              </w:rPr>
              <w:t>大学本科及以上学历，安全、环保、工程管理、建筑学等相关专业（有相关工作经验者可适当放宽专业限制）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具备企业基本建设、安全环保、项目管理等相关知识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熟悉国家对安全生产、环境保护等领域的法律法规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5014"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62"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研究国家安全生产、环境保护、职业健康方面相关法律法规和政策，贯彻、落实上级相关部门关于安全生产、环境保护、职业健康、应急管理的相关工作要求</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w:t>
            </w:r>
            <w:r>
              <w:rPr>
                <w:rFonts w:ascii="Calibri" w:hAnsi="Calibri" w:eastAsia="宋体" w:cs="Times New Roman"/>
                <w:sz w:val="21"/>
                <w:szCs w:val="21"/>
              </w:rPr>
              <w:t>公司安全生产、</w:t>
            </w:r>
            <w:r>
              <w:rPr>
                <w:rFonts w:hint="eastAsia" w:ascii="Calibri" w:hAnsi="Calibri" w:eastAsia="宋体" w:cs="Times New Roman"/>
                <w:sz w:val="21"/>
                <w:szCs w:val="21"/>
              </w:rPr>
              <w:t>环境保护、</w:t>
            </w:r>
            <w:r>
              <w:rPr>
                <w:rFonts w:ascii="Calibri" w:hAnsi="Calibri" w:eastAsia="宋体" w:cs="Times New Roman"/>
                <w:sz w:val="21"/>
                <w:szCs w:val="21"/>
              </w:rPr>
              <w:t>职业健康、应急管理方面规章制度的拟订、修订及监督执行工作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负责对公司及所属企业安全环保工作进行定期、不定期检查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负责组织公司年度安全生产考核，指导所属企业的年度安全生产考核</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协助政府主管部门对公司及所属企业发生较大级别以上事故的调查处理，参与所属企业一般事故的调查处理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监督执行国家、省、集团颁布的各类环境质量标准、污染物排放标准和其他有关环境标准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组织制定和监督实施公司确定的重点区域、重点流域污染防治规划和生态保护规划、计划</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负责重大环境问题的统筹协调和监督管理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建立与完善职业危害防治制度和操作规程，并督促、检查公司遵守相关职业危害规定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负责定期开展安全生产、职业健康、环境保护的宣传、教育工作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负责公司安全生产、职业健康、环境保护方面工作的信息统计、处理和报告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建立健全应急管理体系，制定安全应急预案，定期组织开展安全应急预警和演练</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配合上级相关部门对公司安全环保工作的检查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熟悉国家、地方建筑业政策、法律法规及工程建设标准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负责公司投资建设项目管理工作，对建设项目进行全过程的管理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参与建设项目工可研究、前期考察、论证、立项等阶段的工作，参与办理建设项目报规报建相关手续</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参与工程招标工作，从技术力量、生产能力、资质状况等指标对供方进行评价</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审查建设项目施工组织设计方案及各专项施工方案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督导责任单位对建设项目技术方案进行把关，协调和处理项目建设中的技术问题</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督导责任单位编制建设项目总进度计划、阶段性进度计划，跟踪掌握项目实施进度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掌握建设项目质量动态，统计质量有关信息，申报工程质量有关奖项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督导建设项目成本管控，对建设项目成本进行动态监控，审核施工过程中设计变更、工程变更</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督导建设项目现场安全管理工作，督促开展安全教育培训，检查培训记录</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督导责任单位建设项目施工过程中事件事故的调查、上报，提供处理意见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定期巡视工程项目，负责现场各施工单位沟通协调，工作监督指导</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参与建设项目交竣工验收及考核，督促落实问题整改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督导建设项目工程档案收集、整理并归档管理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负责投产运营项目改建、扩建工程管理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参与改建、扩建项目工可研究、前期考察、论证、立项等阶段的工作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负责改建、扩建项目实施过程的跟踪、协调、指导和督查等工作</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督导改建、扩建项目工程质量、进度、成本、安全、设计、变更、文明施工、交竣工验收、考核及工程档案管理工作</w:t>
            </w:r>
          </w:p>
          <w:p>
            <w:pPr>
              <w:keepNext w:val="0"/>
              <w:keepLines w:val="0"/>
              <w:pageBreakBefore w:val="0"/>
              <w:widowControl w:val="0"/>
              <w:numPr>
                <w:ilvl w:val="0"/>
                <w:numId w:val="13"/>
              </w:numPr>
              <w:kinsoku/>
              <w:wordWrap/>
              <w:overflowPunct/>
              <w:topLinePunct w:val="0"/>
              <w:autoSpaceDE/>
              <w:autoSpaceDN/>
              <w:bidi w:val="0"/>
              <w:adjustRightInd w:val="0"/>
              <w:snapToGrid w:val="0"/>
              <w:ind w:left="420" w:leftChars="0" w:hanging="420" w:firstLineChars="0"/>
              <w:jc w:val="left"/>
              <w:textAlignment w:val="auto"/>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5014"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sectPr>
      <w:pgSz w:w="16838" w:h="11906" w:orient="landscape"/>
      <w:pgMar w:top="84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00C97"/>
    <w:multiLevelType w:val="singleLevel"/>
    <w:tmpl w:val="97700C97"/>
    <w:lvl w:ilvl="0" w:tentative="0">
      <w:start w:val="1"/>
      <w:numFmt w:val="chineseCounting"/>
      <w:pStyle w:val="13"/>
      <w:suff w:val="nothing"/>
      <w:lvlText w:val="第%1条 "/>
      <w:lvlJc w:val="left"/>
      <w:pPr>
        <w:tabs>
          <w:tab w:val="left" w:pos="0"/>
        </w:tabs>
        <w:ind w:left="0" w:firstLine="1134"/>
      </w:pPr>
      <w:rPr>
        <w:rFonts w:hint="eastAsia" w:ascii="黑体" w:hAnsi="黑体" w:eastAsia="黑体" w:cs="黑体"/>
        <w:sz w:val="32"/>
        <w:szCs w:val="32"/>
        <w:lang w:val="en-US"/>
      </w:rPr>
    </w:lvl>
  </w:abstractNum>
  <w:abstractNum w:abstractNumId="1">
    <w:nsid w:val="D49A97A5"/>
    <w:multiLevelType w:val="multilevel"/>
    <w:tmpl w:val="D49A97A5"/>
    <w:lvl w:ilvl="0" w:tentative="0">
      <w:start w:val="1"/>
      <w:numFmt w:val="chineseCountingThousand"/>
      <w:lvlText w:val="第%1节"/>
      <w:lvlJc w:val="left"/>
      <w:pPr>
        <w:ind w:left="420" w:hanging="420"/>
      </w:pPr>
      <w:rPr>
        <w:rFonts w:hint="eastAsia" w:eastAsia="宋体"/>
        <w:b/>
        <w:i w:val="0"/>
        <w:sz w:val="28"/>
      </w:rPr>
    </w:lvl>
    <w:lvl w:ilvl="1" w:tentative="0">
      <w:start w:val="1"/>
      <w:numFmt w:val="chineseCountingThousand"/>
      <w:pStyle w:val="19"/>
      <w:lvlText w:val="第%2节"/>
      <w:lvlJc w:val="left"/>
      <w:pPr>
        <w:ind w:left="840" w:hanging="420"/>
      </w:pPr>
      <w:rPr>
        <w:rFonts w:hint="eastAsia" w:eastAsia="宋体"/>
        <w:b/>
        <w:i w:val="0"/>
        <w:sz w:val="28"/>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D7E19054"/>
    <w:multiLevelType w:val="singleLevel"/>
    <w:tmpl w:val="D7E19054"/>
    <w:lvl w:ilvl="0" w:tentative="0">
      <w:start w:val="1"/>
      <w:numFmt w:val="chineseCounting"/>
      <w:pStyle w:val="6"/>
      <w:lvlText w:val="第%1条"/>
      <w:lvlJc w:val="left"/>
      <w:pPr>
        <w:tabs>
          <w:tab w:val="left" w:pos="420"/>
        </w:tabs>
        <w:ind w:left="0" w:firstLine="397"/>
      </w:pPr>
      <w:rPr>
        <w:rFonts w:hint="eastAsia" w:eastAsia="黑体" w:cs="黑体"/>
        <w:sz w:val="30"/>
        <w:szCs w:val="32"/>
      </w:rPr>
    </w:lvl>
  </w:abstractNum>
  <w:abstractNum w:abstractNumId="3">
    <w:nsid w:val="D87C6C09"/>
    <w:multiLevelType w:val="multilevel"/>
    <w:tmpl w:val="D87C6C09"/>
    <w:lvl w:ilvl="0" w:tentative="0">
      <w:start w:val="1"/>
      <w:numFmt w:val="japaneseCounting"/>
      <w:pStyle w:val="18"/>
      <w:lvlText w:val="第%1章"/>
      <w:lvlJc w:val="left"/>
      <w:pPr>
        <w:ind w:left="936" w:hanging="840"/>
      </w:pPr>
      <w:rPr>
        <w:rFonts w:hint="eastAsia" w:cs="Times New Roman"/>
        <w:lang w:val="en-US"/>
      </w:rPr>
    </w:lvl>
    <w:lvl w:ilvl="1" w:tentative="0">
      <w:start w:val="1"/>
      <w:numFmt w:val="lowerLetter"/>
      <w:lvlText w:val="%2)"/>
      <w:lvlJc w:val="left"/>
      <w:pPr>
        <w:ind w:left="936" w:hanging="420"/>
      </w:pPr>
      <w:rPr>
        <w:rFonts w:hint="eastAsia" w:cs="Times New Roman"/>
      </w:rPr>
    </w:lvl>
    <w:lvl w:ilvl="2" w:tentative="0">
      <w:start w:val="1"/>
      <w:numFmt w:val="lowerRoman"/>
      <w:lvlText w:val="%3."/>
      <w:lvlJc w:val="right"/>
      <w:pPr>
        <w:ind w:left="1356" w:hanging="420"/>
      </w:pPr>
      <w:rPr>
        <w:rFonts w:hint="eastAsia" w:cs="Times New Roman"/>
      </w:rPr>
    </w:lvl>
    <w:lvl w:ilvl="3" w:tentative="0">
      <w:start w:val="1"/>
      <w:numFmt w:val="decimal"/>
      <w:lvlText w:val="%4."/>
      <w:lvlJc w:val="left"/>
      <w:pPr>
        <w:ind w:left="1776" w:hanging="420"/>
      </w:pPr>
      <w:rPr>
        <w:rFonts w:hint="eastAsia" w:cs="Times New Roman"/>
      </w:rPr>
    </w:lvl>
    <w:lvl w:ilvl="4" w:tentative="0">
      <w:start w:val="1"/>
      <w:numFmt w:val="lowerLetter"/>
      <w:lvlText w:val="%5)"/>
      <w:lvlJc w:val="left"/>
      <w:pPr>
        <w:ind w:left="2196" w:hanging="420"/>
      </w:pPr>
      <w:rPr>
        <w:rFonts w:hint="eastAsia" w:cs="Times New Roman"/>
      </w:rPr>
    </w:lvl>
    <w:lvl w:ilvl="5" w:tentative="0">
      <w:start w:val="1"/>
      <w:numFmt w:val="lowerRoman"/>
      <w:lvlText w:val="%6."/>
      <w:lvlJc w:val="right"/>
      <w:pPr>
        <w:ind w:left="2616" w:hanging="420"/>
      </w:pPr>
      <w:rPr>
        <w:rFonts w:hint="eastAsia" w:cs="Times New Roman"/>
      </w:rPr>
    </w:lvl>
    <w:lvl w:ilvl="6" w:tentative="0">
      <w:start w:val="1"/>
      <w:numFmt w:val="decimal"/>
      <w:lvlText w:val="%7."/>
      <w:lvlJc w:val="left"/>
      <w:pPr>
        <w:ind w:left="3036" w:hanging="420"/>
      </w:pPr>
      <w:rPr>
        <w:rFonts w:hint="eastAsia" w:cs="Times New Roman"/>
      </w:rPr>
    </w:lvl>
    <w:lvl w:ilvl="7" w:tentative="0">
      <w:start w:val="1"/>
      <w:numFmt w:val="lowerLetter"/>
      <w:lvlText w:val="%8)"/>
      <w:lvlJc w:val="left"/>
      <w:pPr>
        <w:ind w:left="3456" w:hanging="420"/>
      </w:pPr>
      <w:rPr>
        <w:rFonts w:hint="eastAsia" w:cs="Times New Roman"/>
      </w:rPr>
    </w:lvl>
    <w:lvl w:ilvl="8" w:tentative="0">
      <w:start w:val="1"/>
      <w:numFmt w:val="lowerRoman"/>
      <w:lvlText w:val="%9."/>
      <w:lvlJc w:val="right"/>
      <w:pPr>
        <w:ind w:left="3876" w:hanging="420"/>
      </w:pPr>
      <w:rPr>
        <w:rFonts w:hint="eastAsia" w:cs="Times New Roman"/>
      </w:rPr>
    </w:lvl>
  </w:abstractNum>
  <w:abstractNum w:abstractNumId="4">
    <w:nsid w:val="E468CA5C"/>
    <w:multiLevelType w:val="singleLevel"/>
    <w:tmpl w:val="E468CA5C"/>
    <w:lvl w:ilvl="0" w:tentative="0">
      <w:start w:val="1"/>
      <w:numFmt w:val="decimal"/>
      <w:pStyle w:val="9"/>
      <w:lvlText w:val="%1."/>
      <w:lvlJc w:val="left"/>
      <w:pPr>
        <w:tabs>
          <w:tab w:val="left" w:pos="0"/>
        </w:tabs>
        <w:ind w:left="420" w:leftChars="0" w:hanging="420" w:firstLineChars="0"/>
      </w:pPr>
      <w:rPr>
        <w:rFonts w:hint="default" w:ascii="仿宋_GB2312" w:hAnsi="仿宋_GB2312" w:eastAsia="仿宋_GB2312" w:cs="仿宋_GB2312"/>
        <w:sz w:val="32"/>
        <w:szCs w:val="32"/>
      </w:rPr>
    </w:lvl>
  </w:abstractNum>
  <w:abstractNum w:abstractNumId="5">
    <w:nsid w:val="011A63A8"/>
    <w:multiLevelType w:val="multilevel"/>
    <w:tmpl w:val="011A63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B116A7"/>
    <w:multiLevelType w:val="multilevel"/>
    <w:tmpl w:val="13B116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643F13D"/>
    <w:multiLevelType w:val="singleLevel"/>
    <w:tmpl w:val="1643F13D"/>
    <w:lvl w:ilvl="0" w:tentative="0">
      <w:start w:val="1"/>
      <w:numFmt w:val="chineseCounting"/>
      <w:pStyle w:val="12"/>
      <w:suff w:val="nothing"/>
      <w:lvlText w:val="第%1条 "/>
      <w:lvlJc w:val="left"/>
      <w:pPr>
        <w:tabs>
          <w:tab w:val="left" w:pos="0"/>
        </w:tabs>
        <w:ind w:left="0" w:firstLine="40"/>
      </w:pPr>
      <w:rPr>
        <w:rFonts w:hint="eastAsia" w:ascii="黑体" w:hAnsi="黑体" w:eastAsia="黑体" w:cs="黑体"/>
        <w:snapToGrid w:val="0"/>
        <w:sz w:val="32"/>
        <w:szCs w:val="28"/>
      </w:rPr>
    </w:lvl>
  </w:abstractNum>
  <w:abstractNum w:abstractNumId="8">
    <w:nsid w:val="37155AA8"/>
    <w:multiLevelType w:val="singleLevel"/>
    <w:tmpl w:val="37155AA8"/>
    <w:lvl w:ilvl="0" w:tentative="0">
      <w:start w:val="1"/>
      <w:numFmt w:val="chineseCounting"/>
      <w:pStyle w:val="11"/>
      <w:suff w:val="nothing"/>
      <w:lvlText w:val="第%1章  "/>
      <w:lvlJc w:val="left"/>
      <w:pPr>
        <w:ind w:left="0" w:firstLine="420"/>
      </w:pPr>
      <w:rPr>
        <w:rFonts w:hint="eastAsia" w:ascii="黑体" w:hAnsi="黑体" w:eastAsia="黑体" w:cs="黑体"/>
        <w:snapToGrid w:val="0"/>
        <w:sz w:val="32"/>
        <w:szCs w:val="32"/>
      </w:rPr>
    </w:lvl>
  </w:abstractNum>
  <w:abstractNum w:abstractNumId="9">
    <w:nsid w:val="5526AE6F"/>
    <w:multiLevelType w:val="singleLevel"/>
    <w:tmpl w:val="5526AE6F"/>
    <w:lvl w:ilvl="0" w:tentative="0">
      <w:start w:val="1"/>
      <w:numFmt w:val="chineseCounting"/>
      <w:pStyle w:val="21"/>
      <w:suff w:val="nothing"/>
      <w:lvlText w:val="第%1条 "/>
      <w:lvlJc w:val="left"/>
      <w:pPr>
        <w:tabs>
          <w:tab w:val="left" w:pos="0"/>
        </w:tabs>
        <w:ind w:left="0" w:firstLine="397"/>
      </w:pPr>
      <w:rPr>
        <w:rFonts w:hint="eastAsia" w:ascii="仿宋_GB2312" w:hAnsi="仿宋_GB2312" w:eastAsia="仿宋_GB2312" w:cs="仿宋_GB2312"/>
        <w:b/>
        <w:bCs/>
        <w:sz w:val="32"/>
        <w:szCs w:val="32"/>
      </w:rPr>
    </w:lvl>
  </w:abstractNum>
  <w:abstractNum w:abstractNumId="10">
    <w:nsid w:val="68E63184"/>
    <w:multiLevelType w:val="singleLevel"/>
    <w:tmpl w:val="68E63184"/>
    <w:lvl w:ilvl="0" w:tentative="0">
      <w:start w:val="1"/>
      <w:numFmt w:val="bullet"/>
      <w:lvlText w:val=""/>
      <w:lvlJc w:val="left"/>
      <w:pPr>
        <w:ind w:left="420" w:hanging="420"/>
      </w:pPr>
      <w:rPr>
        <w:rFonts w:hint="default" w:ascii="Wingdings" w:hAnsi="Wingdings"/>
      </w:rPr>
    </w:lvl>
  </w:abstractNum>
  <w:abstractNum w:abstractNumId="11">
    <w:nsid w:val="7026F031"/>
    <w:multiLevelType w:val="singleLevel"/>
    <w:tmpl w:val="7026F031"/>
    <w:lvl w:ilvl="0" w:tentative="0">
      <w:start w:val="10"/>
      <w:numFmt w:val="chineseCounting"/>
      <w:pStyle w:val="16"/>
      <w:suff w:val="nothing"/>
      <w:lvlText w:val="第%1条 "/>
      <w:lvlJc w:val="left"/>
      <w:pPr>
        <w:tabs>
          <w:tab w:val="left" w:pos="420"/>
        </w:tabs>
        <w:ind w:left="0" w:firstLine="1134"/>
      </w:pPr>
      <w:rPr>
        <w:rFonts w:hint="eastAsia" w:ascii="宋体" w:hAnsi="宋体" w:eastAsia="宋体" w:cs="宋体"/>
        <w:sz w:val="32"/>
        <w:szCs w:val="32"/>
      </w:rPr>
    </w:lvl>
  </w:abstractNum>
  <w:abstractNum w:abstractNumId="12">
    <w:nsid w:val="7F56C7F6"/>
    <w:multiLevelType w:val="multilevel"/>
    <w:tmpl w:val="7F56C7F6"/>
    <w:lvl w:ilvl="0" w:tentative="0">
      <w:start w:val="1"/>
      <w:numFmt w:val="chineseCountingThousand"/>
      <w:pStyle w:val="20"/>
      <w:lvlText w:val="第%1编"/>
      <w:lvlJc w:val="left"/>
      <w:pPr>
        <w:ind w:left="420" w:hanging="420"/>
      </w:pPr>
      <w:rPr>
        <w:rFonts w:hint="eastAsia" w:eastAsia="方正小标宋简体"/>
        <w:b w:val="0"/>
        <w:i w:val="0"/>
        <w:sz w:val="28"/>
      </w:rPr>
    </w:lvl>
    <w:lvl w:ilvl="1" w:tentative="0">
      <w:start w:val="1"/>
      <w:numFmt w:val="japaneseCounting"/>
      <w:lvlText w:val="第%2节"/>
      <w:lvlJc w:val="left"/>
      <w:pPr>
        <w:ind w:left="1650" w:hanging="1230"/>
      </w:pPr>
      <w:rPr>
        <w:rFonts w:hint="eastAsia"/>
      </w:rPr>
    </w:lvl>
    <w:lvl w:ilvl="2" w:tentative="0">
      <w:start w:val="1"/>
      <w:numFmt w:val="japaneseCounting"/>
      <w:lvlText w:val="第%3条"/>
      <w:lvlJc w:val="left"/>
      <w:pPr>
        <w:ind w:left="2550" w:hanging="1710"/>
      </w:pPr>
      <w:rPr>
        <w:rFonts w:hint="eastAsia" w:ascii="黑体" w:hAnsi="黑体" w:eastAsia="黑体" w:cs="黑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4"/>
  </w:num>
  <w:num w:numId="3">
    <w:abstractNumId w:val="8"/>
  </w:num>
  <w:num w:numId="4">
    <w:abstractNumId w:val="7"/>
  </w:num>
  <w:num w:numId="5">
    <w:abstractNumId w:val="0"/>
  </w:num>
  <w:num w:numId="6">
    <w:abstractNumId w:val="11"/>
  </w:num>
  <w:num w:numId="7">
    <w:abstractNumId w:val="3"/>
  </w:num>
  <w:num w:numId="8">
    <w:abstractNumId w:val="1"/>
  </w:num>
  <w:num w:numId="9">
    <w:abstractNumId w:val="12"/>
  </w:num>
  <w:num w:numId="10">
    <w:abstractNumId w:val="9"/>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61902"/>
    <w:rsid w:val="005561A5"/>
    <w:rsid w:val="050218D2"/>
    <w:rsid w:val="053D26C3"/>
    <w:rsid w:val="06AF1225"/>
    <w:rsid w:val="07530445"/>
    <w:rsid w:val="0817032A"/>
    <w:rsid w:val="0B143802"/>
    <w:rsid w:val="0B2E7B40"/>
    <w:rsid w:val="0B8E0484"/>
    <w:rsid w:val="0BE43591"/>
    <w:rsid w:val="0FFB7B71"/>
    <w:rsid w:val="11FF7495"/>
    <w:rsid w:val="125401D1"/>
    <w:rsid w:val="12974860"/>
    <w:rsid w:val="15743E19"/>
    <w:rsid w:val="16E15D17"/>
    <w:rsid w:val="1701100E"/>
    <w:rsid w:val="18077FDD"/>
    <w:rsid w:val="18BC5A22"/>
    <w:rsid w:val="1B3C59F2"/>
    <w:rsid w:val="1B3C7B57"/>
    <w:rsid w:val="1C9B3CB5"/>
    <w:rsid w:val="1D975A20"/>
    <w:rsid w:val="1E897F83"/>
    <w:rsid w:val="24043C79"/>
    <w:rsid w:val="243552C1"/>
    <w:rsid w:val="24B16988"/>
    <w:rsid w:val="25195642"/>
    <w:rsid w:val="26AE090E"/>
    <w:rsid w:val="270D0B99"/>
    <w:rsid w:val="2C1E457D"/>
    <w:rsid w:val="2D032F08"/>
    <w:rsid w:val="2D033275"/>
    <w:rsid w:val="2E967601"/>
    <w:rsid w:val="300F742A"/>
    <w:rsid w:val="306020EA"/>
    <w:rsid w:val="310B0E1C"/>
    <w:rsid w:val="330C2C28"/>
    <w:rsid w:val="332960E2"/>
    <w:rsid w:val="335E701B"/>
    <w:rsid w:val="33C17127"/>
    <w:rsid w:val="34761902"/>
    <w:rsid w:val="367C3B0D"/>
    <w:rsid w:val="3B53719F"/>
    <w:rsid w:val="3C3E70A2"/>
    <w:rsid w:val="3DFC400E"/>
    <w:rsid w:val="40AD6F2F"/>
    <w:rsid w:val="40F95568"/>
    <w:rsid w:val="41E101B4"/>
    <w:rsid w:val="41FF21A4"/>
    <w:rsid w:val="42DB0A3A"/>
    <w:rsid w:val="44EC1692"/>
    <w:rsid w:val="47DE7D56"/>
    <w:rsid w:val="4AFE7094"/>
    <w:rsid w:val="4C0810EA"/>
    <w:rsid w:val="4C47760D"/>
    <w:rsid w:val="4DCD5B48"/>
    <w:rsid w:val="4DE20B60"/>
    <w:rsid w:val="502674E0"/>
    <w:rsid w:val="502F3D92"/>
    <w:rsid w:val="508C3042"/>
    <w:rsid w:val="51947FD8"/>
    <w:rsid w:val="536F4014"/>
    <w:rsid w:val="53E807C4"/>
    <w:rsid w:val="549C264A"/>
    <w:rsid w:val="57573FF4"/>
    <w:rsid w:val="58EE2A37"/>
    <w:rsid w:val="5C0B5CEF"/>
    <w:rsid w:val="5CDB098E"/>
    <w:rsid w:val="6016370D"/>
    <w:rsid w:val="64CF3C3A"/>
    <w:rsid w:val="64F00424"/>
    <w:rsid w:val="689C303D"/>
    <w:rsid w:val="69480F26"/>
    <w:rsid w:val="69E93934"/>
    <w:rsid w:val="6BE0693A"/>
    <w:rsid w:val="70BA33E9"/>
    <w:rsid w:val="74462FD9"/>
    <w:rsid w:val="75FA09B0"/>
    <w:rsid w:val="77E535FC"/>
    <w:rsid w:val="793F1D8E"/>
    <w:rsid w:val="7AEE4207"/>
    <w:rsid w:val="7C7C5AEB"/>
    <w:rsid w:val="7E387ABD"/>
    <w:rsid w:val="7E9B5B44"/>
    <w:rsid w:val="7F35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正文样式"/>
    <w:qFormat/>
    <w:uiPriority w:val="0"/>
    <w:pPr>
      <w:tabs>
        <w:tab w:val="left" w:pos="840"/>
      </w:tabs>
      <w:adjustRightInd w:val="0"/>
      <w:snapToGrid w:val="0"/>
      <w:spacing w:line="560" w:lineRule="exact"/>
      <w:ind w:firstLine="854" w:firstLineChars="200"/>
    </w:pPr>
    <w:rPr>
      <w:rFonts w:ascii="仿宋_GB2312" w:hAnsi="仿宋_GB2312" w:eastAsia="仿宋_GB2312" w:cstheme="minorBidi"/>
      <w:sz w:val="32"/>
    </w:rPr>
  </w:style>
  <w:style w:type="paragraph" w:customStyle="1" w:styleId="6">
    <w:name w:val="正文样式1"/>
    <w:next w:val="2"/>
    <w:qFormat/>
    <w:uiPriority w:val="0"/>
    <w:pPr>
      <w:numPr>
        <w:ilvl w:val="0"/>
        <w:numId w:val="1"/>
      </w:numPr>
      <w:tabs>
        <w:tab w:val="left" w:pos="0"/>
        <w:tab w:val="left" w:pos="840"/>
        <w:tab w:val="clear" w:pos="420"/>
      </w:tabs>
      <w:adjustRightInd w:val="0"/>
      <w:snapToGrid w:val="0"/>
      <w:spacing w:line="600" w:lineRule="exact"/>
      <w:ind w:firstLine="854" w:firstLineChars="200"/>
      <w:jc w:val="both"/>
    </w:pPr>
    <w:rPr>
      <w:rFonts w:ascii="Calibri" w:hAnsi="Calibri" w:eastAsia="仿宋_GB2312" w:cstheme="minorBidi"/>
      <w:sz w:val="32"/>
    </w:rPr>
  </w:style>
  <w:style w:type="paragraph" w:customStyle="1" w:styleId="7">
    <w:name w:val="zw"/>
    <w:basedOn w:val="1"/>
    <w:qFormat/>
    <w:uiPriority w:val="0"/>
    <w:pPr>
      <w:adjustRightInd w:val="0"/>
      <w:snapToGrid w:val="0"/>
      <w:spacing w:line="600" w:lineRule="exact"/>
      <w:ind w:firstLine="854" w:firstLineChars="200"/>
    </w:pPr>
    <w:rPr>
      <w:rFonts w:eastAsia="仿宋_GB2312" w:asciiTheme="minorAscii" w:hAnsiTheme="minorAscii"/>
      <w:sz w:val="32"/>
      <w:szCs w:val="22"/>
    </w:rPr>
  </w:style>
  <w:style w:type="paragraph" w:customStyle="1" w:styleId="8">
    <w:name w:val="样式1"/>
    <w:basedOn w:val="6"/>
    <w:qFormat/>
    <w:uiPriority w:val="0"/>
    <w:pPr>
      <w:tabs>
        <w:tab w:val="clear" w:pos="0"/>
      </w:tabs>
    </w:pPr>
  </w:style>
  <w:style w:type="paragraph" w:customStyle="1" w:styleId="9">
    <w:name w:val="前言正文"/>
    <w:qFormat/>
    <w:uiPriority w:val="0"/>
    <w:pPr>
      <w:numPr>
        <w:ilvl w:val="0"/>
        <w:numId w:val="2"/>
      </w:numPr>
      <w:adjustRightInd w:val="0"/>
      <w:snapToGrid w:val="0"/>
      <w:spacing w:line="600" w:lineRule="exact"/>
      <w:ind w:firstLine="640" w:firstLineChars="200"/>
    </w:pPr>
    <w:rPr>
      <w:rFonts w:eastAsia="仿宋_GB2312" w:asciiTheme="minorAscii" w:hAnsiTheme="minorAscii" w:cstheme="minorBidi"/>
      <w:sz w:val="32"/>
    </w:rPr>
  </w:style>
  <w:style w:type="paragraph" w:customStyle="1" w:styleId="10">
    <w:name w:val="节标题"/>
    <w:qFormat/>
    <w:uiPriority w:val="0"/>
    <w:pPr>
      <w:adjustRightInd w:val="0"/>
      <w:snapToGrid w:val="0"/>
      <w:spacing w:after="100" w:afterLines="100" w:line="600" w:lineRule="exact"/>
      <w:jc w:val="center"/>
      <w:outlineLvl w:val="0"/>
    </w:pPr>
    <w:rPr>
      <w:rFonts w:ascii="Times New Roman" w:hAnsi="Times New Roman" w:eastAsia="方正小标宋简体" w:cstheme="minorBidi"/>
      <w:sz w:val="44"/>
    </w:rPr>
  </w:style>
  <w:style w:type="paragraph" w:customStyle="1" w:styleId="11">
    <w:name w:val="章标题"/>
    <w:qFormat/>
    <w:uiPriority w:val="0"/>
    <w:pPr>
      <w:numPr>
        <w:ilvl w:val="0"/>
        <w:numId w:val="3"/>
      </w:numPr>
      <w:adjustRightInd w:val="0"/>
      <w:snapToGrid w:val="0"/>
      <w:spacing w:before="50" w:beforeLines="50" w:after="50" w:afterLines="50" w:line="560" w:lineRule="exact"/>
      <w:jc w:val="center"/>
      <w:outlineLvl w:val="1"/>
    </w:pPr>
    <w:rPr>
      <w:rFonts w:ascii="黑体" w:hAnsi="黑体" w:eastAsia="黑体" w:cs="黑体"/>
      <w:sz w:val="32"/>
      <w:szCs w:val="32"/>
    </w:rPr>
  </w:style>
  <w:style w:type="paragraph" w:customStyle="1" w:styleId="12">
    <w:name w:val="条目录"/>
    <w:basedOn w:val="13"/>
    <w:next w:val="14"/>
    <w:link w:val="15"/>
    <w:qFormat/>
    <w:uiPriority w:val="0"/>
    <w:pPr>
      <w:numPr>
        <w:numId w:val="4"/>
      </w:numPr>
      <w:tabs>
        <w:tab w:val="left" w:pos="0"/>
      </w:tabs>
      <w:spacing w:line="560" w:lineRule="exact"/>
      <w:ind w:firstLine="560"/>
      <w:jc w:val="both"/>
    </w:pPr>
  </w:style>
  <w:style w:type="paragraph" w:customStyle="1" w:styleId="13">
    <w:name w:val="条编号"/>
    <w:basedOn w:val="1"/>
    <w:qFormat/>
    <w:uiPriority w:val="0"/>
    <w:pPr>
      <w:numPr>
        <w:ilvl w:val="0"/>
        <w:numId w:val="5"/>
      </w:numPr>
      <w:adjustRightInd w:val="0"/>
      <w:snapToGrid w:val="0"/>
      <w:spacing w:line="600" w:lineRule="exact"/>
      <w:ind w:firstLine="640" w:firstLineChars="200"/>
      <w:pPrChange w:id="0" w:author="陈小明" w:date="2019-03-27T11:54:00Z">
        <w:pPr>
          <w:widowControl w:val="0"/>
          <w:numPr>
            <w:numId w:val="0"/>
          </w:numPr>
          <w:adjustRightInd w:val="0"/>
          <w:snapToGrid w:val="0"/>
          <w:spacing w:line="600" w:lineRule="exact"/>
          <w:ind w:firstLine="1134"/>
          <w:jc w:val="both"/>
        </w:pPr>
      </w:pPrChange>
    </w:pPr>
    <w:rPr>
      <w:rFonts w:ascii="仿宋_GB2312" w:hAnsi="仿宋_GB2312" w:eastAsia="仿宋_GB2312" w:cs="仿宋_GB2312"/>
      <w:snapToGrid w:val="0"/>
      <w:kern w:val="0"/>
      <w:sz w:val="32"/>
      <w:szCs w:val="32"/>
      <w:rPrChange w:id="1" w:author="流 沙" w:date="2019-03-27T11:54:00Z">
        <w:rPr>
          <w:rFonts w:ascii="仿宋_GB2312" w:hAnsi="仿宋_GB2312" w:eastAsia="仿宋_GB2312" w:cs="仿宋_GB2312"/>
          <w:snapToGrid w:val="0"/>
          <w:sz w:val="32"/>
          <w:szCs w:val="32"/>
          <w:lang w:val="en-US" w:eastAsia="zh-CN" w:bidi="ar-SA"/>
        </w:rPr>
      </w:rPrChange>
    </w:rPr>
  </w:style>
  <w:style w:type="paragraph" w:customStyle="1" w:styleId="14">
    <w:name w:val="文本"/>
    <w:link w:val="23"/>
    <w:qFormat/>
    <w:uiPriority w:val="0"/>
    <w:pPr>
      <w:adjustRightInd w:val="0"/>
      <w:snapToGrid w:val="0"/>
      <w:spacing w:line="560" w:lineRule="exact"/>
      <w:ind w:firstLine="640" w:firstLineChars="200"/>
      <w:jc w:val="both"/>
    </w:pPr>
    <w:rPr>
      <w:rFonts w:ascii="仿宋_GB2312" w:hAnsi="仿宋_GB2312" w:eastAsia="仿宋_GB2312" w:cs="仿宋GB"/>
      <w:sz w:val="32"/>
      <w:szCs w:val="32"/>
    </w:rPr>
  </w:style>
  <w:style w:type="character" w:customStyle="1" w:styleId="15">
    <w:name w:val="条目录 Char"/>
    <w:link w:val="12"/>
    <w:qFormat/>
    <w:uiPriority w:val="0"/>
    <w:rPr>
      <w:rFonts w:ascii="仿宋_GB2312" w:hAnsi="仿宋_GB2312" w:eastAsia="仿宋_GB2312" w:cs="Times New Roman"/>
      <w:sz w:val="32"/>
    </w:rPr>
  </w:style>
  <w:style w:type="paragraph" w:customStyle="1" w:styleId="16">
    <w:name w:val="节目录"/>
    <w:next w:val="1"/>
    <w:qFormat/>
    <w:uiPriority w:val="0"/>
    <w:pPr>
      <w:numPr>
        <w:ilvl w:val="0"/>
        <w:numId w:val="6"/>
      </w:numPr>
      <w:adjustRightInd w:val="0"/>
      <w:snapToGrid w:val="0"/>
      <w:spacing w:line="600" w:lineRule="exact"/>
      <w:ind w:firstLine="640" w:firstLineChars="200"/>
      <w:jc w:val="both"/>
    </w:pPr>
    <w:rPr>
      <w:rFonts w:eastAsia="仿宋_GB2312" w:asciiTheme="minorAscii" w:hAnsiTheme="minorAscii" w:cstheme="minorBidi"/>
      <w:sz w:val="32"/>
    </w:rPr>
  </w:style>
  <w:style w:type="paragraph" w:customStyle="1" w:styleId="17">
    <w:name w:val="附件标题"/>
    <w:basedOn w:val="1"/>
    <w:qFormat/>
    <w:uiPriority w:val="0"/>
    <w:pPr>
      <w:adjustRightInd w:val="0"/>
      <w:snapToGrid w:val="0"/>
      <w:spacing w:before="50" w:beforeLines="50" w:after="50" w:afterLines="50" w:line="600" w:lineRule="exact"/>
      <w:jc w:val="center"/>
    </w:pPr>
    <w:rPr>
      <w:rFonts w:ascii="黑体" w:hAnsi="黑体" w:eastAsia="黑体" w:cs="黑体"/>
      <w:sz w:val="32"/>
      <w:szCs w:val="32"/>
    </w:rPr>
  </w:style>
  <w:style w:type="paragraph" w:customStyle="1" w:styleId="18">
    <w:name w:val="章样式"/>
    <w:basedOn w:val="1"/>
    <w:qFormat/>
    <w:uiPriority w:val="0"/>
    <w:pPr>
      <w:numPr>
        <w:ilvl w:val="0"/>
        <w:numId w:val="7"/>
      </w:numPr>
      <w:adjustRightInd w:val="0"/>
      <w:snapToGrid w:val="0"/>
      <w:spacing w:before="100" w:beforeLines="100" w:after="100" w:afterLines="100" w:line="560" w:lineRule="exact"/>
      <w:ind w:left="0" w:firstLine="0" w:firstLineChars="0"/>
      <w:jc w:val="center"/>
      <w:outlineLvl w:val="1"/>
    </w:pPr>
    <w:rPr>
      <w:rFonts w:ascii="黑体" w:hAnsi="黑体" w:eastAsia="黑体" w:cs="Times New Roman"/>
      <w:sz w:val="32"/>
    </w:rPr>
  </w:style>
  <w:style w:type="paragraph" w:customStyle="1" w:styleId="19">
    <w:name w:val="节样式"/>
    <w:basedOn w:val="1"/>
    <w:qFormat/>
    <w:uiPriority w:val="0"/>
    <w:pPr>
      <w:numPr>
        <w:ilvl w:val="1"/>
        <w:numId w:val="8"/>
      </w:numPr>
      <w:spacing w:before="50" w:beforeLines="50" w:after="50" w:afterLines="50" w:line="560" w:lineRule="exact"/>
      <w:ind w:left="0" w:firstLine="6"/>
      <w:jc w:val="center"/>
      <w:outlineLvl w:val="1"/>
    </w:pPr>
    <w:rPr>
      <w:rFonts w:ascii="宋体" w:hAnsi="宋体" w:eastAsia="宋体" w:cs="Times New Roman"/>
      <w:b/>
      <w:sz w:val="32"/>
      <w:szCs w:val="28"/>
    </w:rPr>
  </w:style>
  <w:style w:type="paragraph" w:customStyle="1" w:styleId="20">
    <w:name w:val="编样式"/>
    <w:basedOn w:val="1"/>
    <w:qFormat/>
    <w:uiPriority w:val="0"/>
    <w:pPr>
      <w:numPr>
        <w:ilvl w:val="0"/>
        <w:numId w:val="9"/>
      </w:numPr>
      <w:topLinePunct/>
      <w:adjustRightInd w:val="0"/>
      <w:spacing w:before="150" w:beforeLines="150" w:after="150" w:afterLines="150" w:line="560" w:lineRule="exact"/>
      <w:jc w:val="center"/>
      <w:outlineLvl w:val="0"/>
    </w:pPr>
    <w:rPr>
      <w:rFonts w:ascii="方正小标宋简体" w:hAnsi="方正小标宋简体" w:eastAsia="方正小标宋简体" w:cs="Times New Roman"/>
      <w:kern w:val="0"/>
      <w:sz w:val="32"/>
      <w:szCs w:val="24"/>
    </w:rPr>
  </w:style>
  <w:style w:type="paragraph" w:customStyle="1" w:styleId="21">
    <w:name w:val="条标题"/>
    <w:basedOn w:val="1"/>
    <w:qFormat/>
    <w:uiPriority w:val="0"/>
    <w:pPr>
      <w:numPr>
        <w:ilvl w:val="0"/>
        <w:numId w:val="10"/>
      </w:numPr>
      <w:adjustRightInd w:val="0"/>
      <w:snapToGrid w:val="0"/>
      <w:spacing w:line="600" w:lineRule="exact"/>
      <w:ind w:firstLine="880" w:firstLineChars="200"/>
    </w:pPr>
    <w:rPr>
      <w:rFonts w:eastAsia="仿宋_GB2312" w:asciiTheme="minorAscii" w:hAnsiTheme="minorAscii"/>
      <w:sz w:val="32"/>
    </w:rPr>
  </w:style>
  <w:style w:type="paragraph" w:customStyle="1" w:styleId="22">
    <w:name w:val="公文样式-文件标题"/>
    <w:basedOn w:val="1"/>
    <w:next w:val="2"/>
    <w:qFormat/>
    <w:uiPriority w:val="0"/>
    <w:pPr>
      <w:keepNext w:val="0"/>
      <w:keepLines w:val="0"/>
      <w:widowControl/>
      <w:suppressLineNumbers w:val="0"/>
      <w:adjustRightInd w:val="0"/>
      <w:snapToGrid w:val="0"/>
      <w:spacing w:before="0" w:beforeAutospacing="0" w:afterAutospacing="0" w:line="560" w:lineRule="exact"/>
      <w:ind w:left="0" w:right="0" w:firstLine="0" w:firstLineChars="0"/>
      <w:jc w:val="center"/>
    </w:pPr>
    <w:rPr>
      <w:rFonts w:hint="eastAsia" w:ascii="方正小标宋简体" w:hAnsi="方正小标宋简体" w:eastAsia="方正小标宋简体" w:cs="方正小标宋简体"/>
      <w:sz w:val="44"/>
      <w:szCs w:val="44"/>
      <w:lang w:bidi="ar"/>
    </w:rPr>
  </w:style>
  <w:style w:type="character" w:customStyle="1" w:styleId="23">
    <w:name w:val="文本 Char"/>
    <w:link w:val="14"/>
    <w:uiPriority w:val="0"/>
    <w:rPr>
      <w:rFonts w:ascii="仿宋_GB2312" w:hAnsi="仿宋_GB2312" w:eastAsia="仿宋_GB2312" w:cs="仿宋G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2022-02-17T08:18:00Z</dcterms:created>
  <dc:creator>陈小明</dc:creator>
  <cp:lastModifiedBy>陈小明</cp:lastModifiedBy>
  <dcterms:modified xsi:type="dcterms:W3CDTF">2022-02-17T09:46:37Z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